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104" w:firstLineChars="25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新宋体" w:hAnsi="新宋体" w:eastAsia="新宋体" w:cs="新宋体"/>
          <w:b/>
          <w:bCs/>
          <w:sz w:val="44"/>
          <w:szCs w:val="44"/>
          <w:u w:val="none"/>
          <w:lang w:val="en-US" w:eastAsia="zh-CN"/>
        </w:rPr>
        <w:t>许昌市司法局</w:t>
      </w:r>
      <w:r>
        <w:rPr>
          <w:rFonts w:hint="eastAsia" w:ascii="新宋体" w:hAnsi="新宋体" w:eastAsia="新宋体" w:cs="新宋体"/>
          <w:b/>
          <w:bCs/>
          <w:sz w:val="44"/>
          <w:szCs w:val="44"/>
          <w:u w:val="none"/>
          <w:lang w:val="en-US" w:eastAsia="zh-CN"/>
        </w:rPr>
        <w:t>普法责任清单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责任单位（盖章）：许昌市司法局</w:t>
      </w:r>
    </w:p>
    <w:p>
      <w:pPr>
        <w:spacing w:line="2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718"/>
        <w:gridCol w:w="309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重点普法对象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全局干部职工、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社区矫正对象、村（居）民等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89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重点普法内容</w:t>
            </w:r>
          </w:p>
        </w:tc>
        <w:tc>
          <w:tcPr>
            <w:tcW w:w="17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共性普法内容</w:t>
            </w:r>
          </w:p>
        </w:tc>
        <w:tc>
          <w:tcPr>
            <w:tcW w:w="5444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习近平新时代中国特色社会主义思想，习近平法治思想，党的二十大会议精神，宪法、民法典等基本法律法规，与建设城乡融合共同富裕先行试验区密切的相关法律法规，党内法规等。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个性普法内容</w:t>
            </w:r>
          </w:p>
        </w:tc>
        <w:tc>
          <w:tcPr>
            <w:tcW w:w="309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spacing w:val="-10"/>
                <w:sz w:val="28"/>
                <w:szCs w:val="28"/>
              </w:rPr>
              <w:t>拟重点普及法律法规名称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spacing w:val="-10"/>
                <w:sz w:val="28"/>
                <w:szCs w:val="28"/>
              </w:rPr>
              <w:t>责任</w:t>
            </w:r>
            <w:r>
              <w:rPr>
                <w:rFonts w:hint="eastAsia" w:ascii="楷体_GB2312" w:eastAsia="楷体_GB2312"/>
                <w:spacing w:val="-10"/>
                <w:sz w:val="28"/>
                <w:szCs w:val="28"/>
                <w:lang w:eastAsia="zh-CN"/>
              </w:rPr>
              <w:t>科</w:t>
            </w:r>
            <w:r>
              <w:rPr>
                <w:rFonts w:ascii="楷体_GB2312" w:eastAsia="楷体_GB2312"/>
                <w:spacing w:val="-10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《仲裁法》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公证仲裁科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《许昌仲裁委员会仲裁规则》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公证仲裁科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《公证法》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公证仲裁科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8"/>
                <w:szCs w:val="28"/>
                <w:lang w:val="en-US" w:eastAsia="zh-CN" w:bidi="ar-SA"/>
              </w:rPr>
              <w:t>《法律援助法》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8"/>
                <w:szCs w:val="28"/>
                <w:lang w:val="en-US" w:eastAsia="zh-CN" w:bidi="ar-SA"/>
              </w:rPr>
              <w:t>法律援助工作科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8"/>
                <w:szCs w:val="28"/>
                <w:lang w:val="en-US" w:eastAsia="zh-CN" w:bidi="ar-SA"/>
              </w:rPr>
              <w:t>《社区矫正法》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8"/>
                <w:szCs w:val="28"/>
                <w:lang w:val="en-US" w:eastAsia="zh-CN" w:bidi="ar-SA"/>
              </w:rPr>
              <w:t>社区矫正管理局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本部门本单位202</w:t>
            </w: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楷体_GB2312" w:eastAsia="楷体_GB2312"/>
                <w:spacing w:val="-20"/>
                <w:sz w:val="28"/>
                <w:szCs w:val="28"/>
              </w:rPr>
              <w:t>年重要时间节点普法计划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firstLine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具体内容</w:t>
            </w:r>
            <w:r>
              <w:rPr>
                <w:rFonts w:hint="eastAsia" w:ascii="楷体_GB2312" w:eastAsia="楷体_GB2312" w:cs="宋体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="楷体_GB2312" w:eastAsia="楷体_GB2312" w:cs="宋体"/>
                <w:bCs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楷体_GB2312" w:eastAsia="楷体_GB2312" w:cs="宋体"/>
                <w:bCs/>
                <w:sz w:val="28"/>
                <w:szCs w:val="28"/>
                <w:lang w:val="en-US" w:eastAsia="zh-CN"/>
              </w:rPr>
              <w:t>时间、地点、活动形式）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2月份，结合“全民普法月月有主题”活动，深入社区、乡村开展《法律援助法》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《公证法》普法宣传活动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_GB2312" w:eastAsia="楷体_GB2312" w:hAnsiTheme="minorHAnsi" w:cstheme="minorBidi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3月份，结合“3.8国际妇女节”和“3.15消费者权益日”，深入乡村、社区开展《民法典》、《社区矫正法》以及相关法律法规系列法治宣传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 w:hAnsiTheme="minorHAnsi" w:cstheme="minorBidi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4月份，结合“4.15”全民国家安全教育日，组织《国家安全法》《反恐怖主义法》《保密法》等涉及国家安全法律法规学习宣传活动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5月组织开展“民法典”系列宣传活动，结合“民法典”系列宣传活动做好线上线下宣传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6月份，开展毒品危害及《仲裁法》《许昌仲裁委员会仲裁规则》等宣传活动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9月份，结合国家网络安全宣传周，在局机关开展《网络安全法》法治宣传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12月上旬在全市组织开展“宪法宣传周”系列宣传活动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全年，利用党组中心组学习、支部主题党日</w:t>
            </w:r>
            <w:r>
              <w:rPr>
                <w:rFonts w:hint="default" w:ascii="楷体_GB2312" w:eastAsia="楷体_GB2312"/>
                <w:spacing w:val="-20"/>
                <w:sz w:val="28"/>
                <w:szCs w:val="28"/>
                <w:lang w:val="en" w:eastAsia="zh-CN"/>
              </w:rPr>
              <w:t>等</w:t>
            </w: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，学习宣传习近平新时代中国特色社会主义思想，习近平法治思想，党的二十大会议精神和党章、党内法规等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持续全年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 xml:space="preserve">全年，结合司法行政业务工作，结合重要节点做好相关法治宣传 </w:t>
            </w:r>
          </w:p>
        </w:tc>
        <w:tc>
          <w:tcPr>
            <w:tcW w:w="23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持续全年</w:t>
            </w:r>
          </w:p>
        </w:tc>
      </w:tr>
    </w:tbl>
    <w:p>
      <w:pPr>
        <w:jc w:val="left"/>
        <w:rPr>
          <w:rFonts w:hint="eastAsia" w:ascii="楷体_GB2312" w:eastAsia="楷体_GB2312"/>
          <w:spacing w:val="-2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U2MzZlYWIyNGQ4ZTc0NDU1Y2VhMWQ5YzAxYjMifQ=="/>
  </w:docVars>
  <w:rsids>
    <w:rsidRoot w:val="5EF735A3"/>
    <w:rsid w:val="0BFF9A3C"/>
    <w:rsid w:val="11D800BC"/>
    <w:rsid w:val="16F63388"/>
    <w:rsid w:val="1C84690F"/>
    <w:rsid w:val="223446A2"/>
    <w:rsid w:val="223872C1"/>
    <w:rsid w:val="23F944BF"/>
    <w:rsid w:val="24727DCD"/>
    <w:rsid w:val="2AAB515F"/>
    <w:rsid w:val="2B7363B6"/>
    <w:rsid w:val="2D491EF8"/>
    <w:rsid w:val="34417BE4"/>
    <w:rsid w:val="37420AF8"/>
    <w:rsid w:val="37457520"/>
    <w:rsid w:val="3CCC378F"/>
    <w:rsid w:val="3DB53026"/>
    <w:rsid w:val="3FBE2F51"/>
    <w:rsid w:val="438A6868"/>
    <w:rsid w:val="4AA16062"/>
    <w:rsid w:val="4ADD2A93"/>
    <w:rsid w:val="4BA9728F"/>
    <w:rsid w:val="53A93048"/>
    <w:rsid w:val="5A74177B"/>
    <w:rsid w:val="5A9F08B8"/>
    <w:rsid w:val="5AFF6748"/>
    <w:rsid w:val="5EF735A3"/>
    <w:rsid w:val="5F5D4B58"/>
    <w:rsid w:val="5FD31A91"/>
    <w:rsid w:val="5FDA55DD"/>
    <w:rsid w:val="67DCB504"/>
    <w:rsid w:val="717F0D8F"/>
    <w:rsid w:val="77E95222"/>
    <w:rsid w:val="7E4609A7"/>
    <w:rsid w:val="7FEDDD0D"/>
    <w:rsid w:val="906CD550"/>
    <w:rsid w:val="D2F217CE"/>
    <w:rsid w:val="D73FF4E6"/>
    <w:rsid w:val="DF3E2673"/>
    <w:rsid w:val="DFFFC609"/>
    <w:rsid w:val="E94B5DC0"/>
    <w:rsid w:val="EEFD1C70"/>
    <w:rsid w:val="F9FF95C7"/>
    <w:rsid w:val="FFDF2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766</Characters>
  <Lines>0</Lines>
  <Paragraphs>0</Paragraphs>
  <TotalTime>65</TotalTime>
  <ScaleCrop>false</ScaleCrop>
  <LinksUpToDate>false</LinksUpToDate>
  <CharactersWithSpaces>767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2022-02-02T02:01:00Z</dcterms:created>
  <dc:creator>Administrator</dc:creator>
  <cp:lastModifiedBy>huanghe</cp:lastModifiedBy>
  <cp:lastPrinted>2023-02-17T14:53:41Z</cp:lastPrinted>
  <dcterms:modified xsi:type="dcterms:W3CDTF">2023-02-17T15:58:42Z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DA4411D8D29343AEAA8662A4AF5A8611</vt:lpwstr>
  </property>
</Properties>
</file>